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 accordo con le/gli insegnanti dell’interclasse, propongo al Collegio dei Docenti l’adozione del seguente corso: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Roberta Del Vecchio, Sabrina Domini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GIORNATE DAI MILLE COLORI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Percorso di alternativa all’IRC per le classi prima, seconda e terza della scuola primaria</w:t>
      </w:r>
    </w:p>
    <w:tbl>
      <w:tblPr>
        <w:tblStyle w:val="Table1"/>
        <w:tblW w:w="10013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006"/>
        <w:gridCol w:w="5007"/>
        <w:tblGridChange w:id="0">
          <w:tblGrid>
            <w:gridCol w:w="5006"/>
            <w:gridCol w:w="5007"/>
          </w:tblGrid>
        </w:tblGridChange>
      </w:tblGrid>
      <w:tr>
        <w:trPr>
          <w:cantSplit w:val="0"/>
          <w:trHeight w:val="2532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Classi prima, seconda e terza</w:t>
            </w:r>
          </w:p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• Giornate dai mille colori</w:t>
            </w:r>
          </w:p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CLASSI 1-2-3 pp. 168</w:t>
            </w:r>
          </w:p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ISBN 978-88-426-3290-0</w:t>
            </w:r>
          </w:p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prezzo ministeriale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pubblicato da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Il Capitello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widowControl w:val="0"/>
        <w:spacing w:after="0" w:lineRule="auto"/>
        <w:ind w:right="49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Il testo è conforme alle nuove Indicazioni Nazionali e recepisce tutte le ultime richieste normative in riferimento ai libri di testo in versione mista, accompagnati da contenuti digitali integrativi. </w:t>
      </w:r>
    </w:p>
    <w:p w:rsidR="00000000" w:rsidDel="00000000" w:rsidP="00000000" w:rsidRDefault="00000000" w:rsidRPr="00000000" w14:paraId="0000000F">
      <w:pPr>
        <w:widowControl w:val="0"/>
        <w:spacing w:after="0" w:lineRule="auto"/>
        <w:ind w:right="49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Sul sito www.gruppolascuola.it, dalla scheda di presentazione del volume si accede ai contenuti digitali relativi a questo corso.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67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12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Giornate dai mille colori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rappresenta un valido supporto didattico all’insegnamento di Alternativa alla Religione Cattolica.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12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volume, suddiviso per classi, è strutturato 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percorsi mensili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ognuno dei quali si articola a partire da una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Giornata speciale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che coincide con ciascuno dei mesi dell‘anno scolastico: feste, ricorrenze nazionali, europee o internazionali, dedicate ai temi della cittadinanza, della sostenibilità, dell’uguaglianza e dell’affettività.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12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 scelta delle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Giornate speciali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tiene conto del grado di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sviluppo cognitivo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 della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sensibilità dei bambini e delle bambine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anche di nazionalità non italiana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con lo scopo di affrontare argomenti sempre comprensibili per alunni e alunne di ciascuna delle cinque classi e utili alla loro crescita emotiva, culturale e sociale.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12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progetto, non semplicemente sovrapponibile a un corso di Educazione civica, propone letture e attività afferenti a numerose materie, dai Linguaggi, alla Storia, alla Geografia, fino alla Matematica, alle Scienze e all’Inglese, secondo una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logica di interdisciplinarità e trasversalità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che punta a consolidare le conoscenze acquisite, a fornirne di nuove e a sviluppare la capacità di sintesi tra le stesse.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12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 particolare, le prime classi contengono strumenti di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potenziamento e supporto all’apprendimento della letto-scrittura e dell’alfabetizzazione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12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 didattica è ben bilanciata tra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proposte tradizionali e attività ludiche innovative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(compiti di realtà, didattica attiva,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tinkering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coding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), per favorire il coinvolgimento degli alunni e delle alunne e trasformare le ore di attività Alternativa all’IRC in un momento di apprendimento attivo e realmente significativo.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80" w:line="240" w:lineRule="auto"/>
        <w:jc w:val="both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8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Data, </w:t>
        <w:tab/>
        <w:tab/>
        <w:tab/>
        <w:tab/>
        <w:tab/>
        <w:tab/>
        <w:tab/>
        <w:tab/>
        <w:tab/>
        <w:tab/>
        <w:tab/>
        <w:t xml:space="preserve">Il Docente</w:t>
      </w: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851" w:top="1440" w:left="1077" w:right="107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4406265</wp:posOffset>
          </wp:positionH>
          <wp:positionV relativeFrom="paragraph">
            <wp:posOffset>-137794</wp:posOffset>
          </wp:positionV>
          <wp:extent cx="1993900" cy="402787"/>
          <wp:effectExtent b="0" l="0" r="0" t="0"/>
          <wp:wrapSquare wrapText="bothSides" distB="0" distT="0" distL="114300" distR="114300"/>
          <wp:docPr descr="Immagine che contiene nero, oscurità&#10;&#10;Descrizione generata automaticamente" id="1" name="image1.png"/>
          <a:graphic>
            <a:graphicData uri="http://schemas.openxmlformats.org/drawingml/2006/picture">
              <pic:pic>
                <pic:nvPicPr>
                  <pic:cNvPr descr="Immagine che contiene nero, oscurità&#10;&#10;Descrizione generata automaticament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93900" cy="402787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